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97" w:rsidRDefault="00894505">
      <w:pPr>
        <w:widowControl w:val="0"/>
        <w:ind w:left="4395"/>
        <w:jc w:val="right"/>
        <w:rPr>
          <w:rFonts w:ascii="Times New Roman" w:hAnsi="Times New Roman"/>
          <w:b/>
          <w:i/>
          <w:iCs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b/>
          <w:i/>
          <w:iCs/>
          <w:sz w:val="48"/>
          <w:szCs w:val="48"/>
        </w:rPr>
        <w:t xml:space="preserve">Проєкт </w:t>
      </w:r>
    </w:p>
    <w:p w:rsidR="00C60C97" w:rsidRDefault="00C60C9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C60C97" w:rsidRDefault="0089450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C60C97" w:rsidRDefault="00C60C9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C60C97" w:rsidRDefault="0089450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ЛЬВІВСЬКИЙ НАЦІОНАЛЬНИЙ УНІВЕРСИТЕТ ВЕТЕРИНАРНОЇ МЕДИЦИНИ ТА БІОТЕХНОЛОГІЙ ІМЕНІ С.З. ҐЖИЦЬКОГО</w:t>
      </w:r>
    </w:p>
    <w:p w:rsidR="00C60C97" w:rsidRDefault="00C60C97">
      <w:pPr>
        <w:widowControl w:val="0"/>
        <w:ind w:left="4395"/>
        <w:jc w:val="center"/>
        <w:rPr>
          <w:rFonts w:ascii="Times New Roman" w:hAnsi="Times New Roman"/>
          <w:b/>
          <w:sz w:val="28"/>
          <w:szCs w:val="28"/>
        </w:rPr>
      </w:pPr>
    </w:p>
    <w:p w:rsidR="00C60C97" w:rsidRDefault="00C60C97">
      <w:pPr>
        <w:widowControl w:val="0"/>
        <w:ind w:left="4395"/>
        <w:jc w:val="center"/>
        <w:rPr>
          <w:rFonts w:ascii="Times New Roman" w:hAnsi="Times New Roman"/>
          <w:b/>
          <w:sz w:val="28"/>
          <w:szCs w:val="28"/>
        </w:rPr>
      </w:pPr>
    </w:p>
    <w:p w:rsidR="00C60C97" w:rsidRDefault="00C60C97">
      <w:pPr>
        <w:widowControl w:val="0"/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</w:pPr>
    </w:p>
    <w:p w:rsidR="00C60C97" w:rsidRDefault="00C60C97">
      <w:pPr>
        <w:widowControl w:val="0"/>
        <w:rPr>
          <w:rFonts w:ascii="Times New Roman" w:hAnsi="Times New Roman"/>
          <w:sz w:val="28"/>
          <w:szCs w:val="28"/>
        </w:rPr>
      </w:pPr>
    </w:p>
    <w:p w:rsidR="00C60C97" w:rsidRDefault="00C60C9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C97" w:rsidRDefault="00894505">
      <w:pPr>
        <w:widowControl w:val="0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ПОЛОЖЕННЯ</w:t>
      </w:r>
    </w:p>
    <w:p w:rsidR="00C60C97" w:rsidRDefault="00894505">
      <w:pPr>
        <w:pStyle w:val="Standard"/>
        <w:ind w:left="851" w:right="567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ПОЛОЖЕННЯ ПРО ПРОЦЕДУРУ </w:t>
      </w:r>
      <w:r>
        <w:rPr>
          <w:rFonts w:ascii="Times New Roman" w:hAnsi="Times New Roman"/>
          <w:b/>
          <w:bCs/>
          <w:sz w:val="36"/>
          <w:szCs w:val="36"/>
        </w:rPr>
        <w:t>РОЗГЛЯДУ ЗАЯВ, СКАРГ, ПРОПОЗИЦІЙ</w:t>
      </w:r>
    </w:p>
    <w:p w:rsidR="00C60C97" w:rsidRDefault="00894505">
      <w:pPr>
        <w:pStyle w:val="Standard"/>
        <w:ind w:left="851" w:right="567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6"/>
          <w:szCs w:val="36"/>
        </w:rPr>
        <w:t>СТУДЕНТІВ ЛЬВІВСЬКОГО НАЦІОНАЛЬНОГО УНІВЕРСИТЕТУ ВЕТЕРИНАРНОЇ МЕДИЦИНИ ТА БІОТЕХНОЛОГІЙ ІМЕНІ С.З.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ҐЖИЦЬКОГО</w:t>
      </w:r>
    </w:p>
    <w:p w:rsidR="00C60C97" w:rsidRDefault="00C60C97">
      <w:pPr>
        <w:widowControl w:val="0"/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C60C97" w:rsidRDefault="00C60C9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C97" w:rsidRDefault="00C60C9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C97" w:rsidRDefault="00C60C9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C97" w:rsidRDefault="00C60C97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C97" w:rsidRDefault="00894505">
      <w:pPr>
        <w:widowControl w:val="0"/>
        <w:spacing w:line="360" w:lineRule="auto"/>
        <w:ind w:left="3969" w:firstLine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ЗАТВЕРДЖЕНО ВЧЕНОЮ РАДОЮ</w:t>
      </w:r>
    </w:p>
    <w:p w:rsidR="00C60C97" w:rsidRDefault="00894505">
      <w:pPr>
        <w:widowControl w:val="0"/>
        <w:spacing w:line="360" w:lineRule="auto"/>
        <w:ind w:left="31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Голова вченої ради _____________ / В.В. Стибель /</w:t>
      </w:r>
    </w:p>
    <w:p w:rsidR="00C60C97" w:rsidRDefault="00894505">
      <w:pPr>
        <w:widowControl w:val="0"/>
        <w:spacing w:line="360" w:lineRule="auto"/>
        <w:ind w:left="31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(протокол № __ від "___"_________ </w:t>
      </w:r>
      <w:r>
        <w:rPr>
          <w:rFonts w:ascii="Times New Roman" w:hAnsi="Times New Roman"/>
          <w:bCs/>
          <w:sz w:val="28"/>
          <w:szCs w:val="28"/>
        </w:rPr>
        <w:t xml:space="preserve">2020 р.) </w:t>
      </w:r>
    </w:p>
    <w:p w:rsidR="00C60C97" w:rsidRDefault="00894505">
      <w:pPr>
        <w:widowControl w:val="0"/>
        <w:spacing w:before="120" w:line="360" w:lineRule="auto"/>
        <w:ind w:left="31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Ректор  _____________  / В.В. Стибель / </w:t>
      </w:r>
    </w:p>
    <w:p w:rsidR="00C60C97" w:rsidRDefault="00894505">
      <w:pPr>
        <w:widowControl w:val="0"/>
        <w:spacing w:line="360" w:lineRule="auto"/>
        <w:ind w:left="31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(наказ № __ від "___"_________ 2020 р.)</w:t>
      </w:r>
    </w:p>
    <w:p w:rsidR="00C60C97" w:rsidRDefault="00C60C97">
      <w:pPr>
        <w:widowControl w:val="0"/>
        <w:spacing w:line="360" w:lineRule="auto"/>
        <w:ind w:left="2835"/>
        <w:jc w:val="both"/>
        <w:rPr>
          <w:rFonts w:ascii="Times New Roman" w:hAnsi="Times New Roman"/>
          <w:bCs/>
          <w:sz w:val="28"/>
          <w:szCs w:val="28"/>
        </w:rPr>
      </w:pPr>
    </w:p>
    <w:p w:rsidR="00C60C97" w:rsidRDefault="00C60C97">
      <w:pPr>
        <w:widowControl w:val="0"/>
        <w:spacing w:line="360" w:lineRule="auto"/>
        <w:ind w:left="2835"/>
        <w:jc w:val="both"/>
        <w:rPr>
          <w:rFonts w:ascii="Times New Roman" w:hAnsi="Times New Roman"/>
          <w:bCs/>
          <w:sz w:val="28"/>
          <w:szCs w:val="28"/>
        </w:rPr>
      </w:pPr>
    </w:p>
    <w:p w:rsidR="00C60C97" w:rsidRDefault="00C60C97">
      <w:pPr>
        <w:widowControl w:val="0"/>
        <w:spacing w:line="360" w:lineRule="auto"/>
        <w:ind w:left="2835"/>
        <w:jc w:val="both"/>
        <w:rPr>
          <w:rFonts w:ascii="Times New Roman" w:hAnsi="Times New Roman"/>
          <w:bCs/>
          <w:sz w:val="28"/>
          <w:szCs w:val="28"/>
        </w:rPr>
      </w:pPr>
    </w:p>
    <w:p w:rsidR="00C60C97" w:rsidRDefault="00894505">
      <w:pPr>
        <w:widowControl w:val="0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noProof/>
          <w:sz w:val="32"/>
          <w:szCs w:val="3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2722241</wp:posOffset>
                </wp:positionH>
                <wp:positionV relativeFrom="paragraph">
                  <wp:posOffset>499106</wp:posOffset>
                </wp:positionV>
                <wp:extent cx="495303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0769" y="20400"/>
                    <wp:lineTo x="20769" y="0"/>
                    <wp:lineTo x="0" y="0"/>
                  </wp:wrapPolygon>
                </wp:wrapThrough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60C97" w:rsidRDefault="00C60C9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35pt;margin-top:39.3pt;width:39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" stroked="f">
                <v:textbox>
                  <w:txbxContent>
                    <w:p w:rsidR="00C60C97" w:rsidRDefault="00C60C9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Times New Roman" w:hAnsi="Times New Roman"/>
          <w:b/>
          <w:sz w:val="32"/>
          <w:szCs w:val="32"/>
        </w:rPr>
        <w:t>Львів – 2020</w:t>
      </w:r>
    </w:p>
    <w:p w:rsidR="00C60C97" w:rsidRDefault="00894505">
      <w:pPr>
        <w:pStyle w:val="Standard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Загальні положення</w:t>
      </w:r>
    </w:p>
    <w:p w:rsidR="00C60C97" w:rsidRDefault="00C60C97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60C97" w:rsidRDefault="00894505">
      <w:pPr>
        <w:pStyle w:val="Standar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Це Положення розроблено згідно із Законом України «Про звернення громадян».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1.2. Розгляд заяв, скарг, пропозицій </w:t>
      </w:r>
      <w:r>
        <w:rPr>
          <w:rFonts w:ascii="Times New Roman" w:hAnsi="Times New Roman"/>
          <w:sz w:val="28"/>
          <w:szCs w:val="28"/>
        </w:rPr>
        <w:t>студентів (далі - Звернення студентів), є засобом отримання необхідної інформації, однією з форм зміцнення і розширення зв’язків зі студентством, що навчаються в університеті, є важливою ділянкою діяльності адміністрації Львівського національного університ</w:t>
      </w:r>
      <w:r>
        <w:rPr>
          <w:rFonts w:ascii="Times New Roman" w:hAnsi="Times New Roman"/>
          <w:sz w:val="28"/>
          <w:szCs w:val="28"/>
        </w:rPr>
        <w:t>ету ветеринарної медицини та біотехнологій імені С.З.</w:t>
      </w:r>
      <w:r>
        <w:rPr>
          <w:rFonts w:ascii="Times New Roman" w:hAnsi="Times New Roman"/>
          <w:sz w:val="28"/>
          <w:szCs w:val="28"/>
          <w:u w:val="single"/>
        </w:rPr>
        <w:t>Ґжицького</w:t>
      </w:r>
      <w:r>
        <w:rPr>
          <w:rFonts w:ascii="Times New Roman" w:hAnsi="Times New Roman"/>
          <w:sz w:val="28"/>
          <w:szCs w:val="28"/>
        </w:rPr>
        <w:t>. Уважне й відповідальне ставлення до звернень студентів кожна посадова особа Академії зобов'язана вважати своїм службовим обов'язком.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 роботі зі Зверненнями студентів, а також під час осо</w:t>
      </w:r>
      <w:r>
        <w:rPr>
          <w:rFonts w:ascii="Times New Roman" w:hAnsi="Times New Roman"/>
          <w:sz w:val="28"/>
          <w:szCs w:val="28"/>
        </w:rPr>
        <w:t>бистого прийому студентів слід дотримуватися високої культури спілкування, уважно ставитися до запитів і пропозицій авторів звернень та відвідувачів.</w:t>
      </w:r>
    </w:p>
    <w:p w:rsidR="00C60C97" w:rsidRDefault="00C60C97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60C97" w:rsidRDefault="00894505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2. Облік і розгляд Звернень студентів</w:t>
      </w:r>
    </w:p>
    <w:p w:rsidR="00C60C97" w:rsidRDefault="00C60C97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60C97" w:rsidRDefault="00894505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2.1. Усі Звернення, що надійшли до університету, мають бути </w:t>
      </w:r>
      <w:r>
        <w:rPr>
          <w:rFonts w:ascii="Times New Roman" w:hAnsi="Times New Roman"/>
          <w:sz w:val="28"/>
          <w:szCs w:val="28"/>
        </w:rPr>
        <w:t>зареєстровані Канцелярією у день їх надходження. У зверненні вказуються прізвище, ім'я та по батькові, місце проживання та викладається суть порушеного питання. Письмове звернення має бути підписане заявником (заявниками) із зазначенням дати. На вільному в</w:t>
      </w:r>
      <w:r>
        <w:rPr>
          <w:rFonts w:ascii="Times New Roman" w:hAnsi="Times New Roman"/>
          <w:sz w:val="28"/>
          <w:szCs w:val="28"/>
        </w:rPr>
        <w:t>ід тексту місці першої сторінки звернення вказуються дата надходження звернення та його реєстраційний номер.</w:t>
      </w:r>
    </w:p>
    <w:p w:rsidR="00C60C97" w:rsidRDefault="0089450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Конверти, в яких надійшли звернення, зберігаються разом з іншими матеріалами перевірки протягом усього періоду їх розгляду.</w:t>
      </w:r>
    </w:p>
    <w:p w:rsidR="00C60C97" w:rsidRDefault="00894505">
      <w:pPr>
        <w:pStyle w:val="Standard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Облік особистого п</w:t>
      </w:r>
      <w:r>
        <w:rPr>
          <w:rFonts w:ascii="Times New Roman" w:hAnsi="Times New Roman"/>
          <w:sz w:val="28"/>
          <w:szCs w:val="28"/>
        </w:rPr>
        <w:t>рийому студентів ведеться у відповідних журналах. Письмові пропозиції, заяви і скарги, подані під час особистого прийому, підлягають реєстрації Канцелярією.</w:t>
      </w:r>
    </w:p>
    <w:p w:rsidR="00C60C97" w:rsidRDefault="00894505">
      <w:pPr>
        <w:pStyle w:val="Standard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Повторні Звернення студентів реєструються так само, як і попередні. При цьому в реєстраційному</w:t>
      </w:r>
      <w:r>
        <w:rPr>
          <w:rFonts w:ascii="Times New Roman" w:hAnsi="Times New Roman"/>
          <w:sz w:val="28"/>
          <w:szCs w:val="28"/>
        </w:rPr>
        <w:t xml:space="preserve"> журналі робиться позначення «Повторно» і до повторного звернення долучається все попереднє листування.</w:t>
      </w:r>
    </w:p>
    <w:p w:rsidR="00C60C97" w:rsidRDefault="00894505">
      <w:pPr>
        <w:pStyle w:val="Standard"/>
        <w:spacing w:line="360" w:lineRule="auto"/>
        <w:ind w:firstLine="851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2.4. Усе листування щодо Звернень студентів ведеться за номерами, присвоєними під час реєстрації. Відповіді на Звернення студентів надсилаються на бланк</w:t>
      </w:r>
      <w:r>
        <w:rPr>
          <w:rFonts w:ascii="Times New Roman" w:hAnsi="Times New Roman"/>
          <w:sz w:val="28"/>
          <w:szCs w:val="28"/>
        </w:rPr>
        <w:t>ах Академії.</w:t>
      </w:r>
    </w:p>
    <w:p w:rsidR="00C60C97" w:rsidRDefault="00C60C97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0C97" w:rsidRDefault="00894505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Вирішення Звернень студентів</w:t>
      </w:r>
    </w:p>
    <w:p w:rsidR="00C60C97" w:rsidRDefault="00C60C97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60C97" w:rsidRDefault="00894505">
      <w:pPr>
        <w:pStyle w:val="Standar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Після закінчення розгляду і виконання прийнятого рішення Звернення разом з матеріалами розгляду та копією відповіді (висновку) зберігаються в Канцелярії.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3.2. Посадові особи університету при розгляді Звер</w:t>
      </w:r>
      <w:r>
        <w:rPr>
          <w:rFonts w:ascii="Times New Roman" w:hAnsi="Times New Roman"/>
          <w:sz w:val="28"/>
          <w:szCs w:val="28"/>
        </w:rPr>
        <w:t>нень студентів зобов'язані уважно вникати в їх суть, у разі потреби вимагати у виконавців матеріали, пов’язані з їх розглядом.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До перевірки Звернень можуть залучатися представники профспілкової та інших громадських організацій, органів самоврядування.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3.4. За результатами розгляду Звернення складається мотивований висновок, який має містити об’єктивний аналіз зібраних матеріалів. Якщо під час розгляду виявлені порушення прав громадян, недоліки в діяльності університету, зловживання посадових осіб та ін</w:t>
      </w:r>
      <w:r>
        <w:rPr>
          <w:rFonts w:ascii="Times New Roman" w:hAnsi="Times New Roman"/>
          <w:sz w:val="28"/>
          <w:szCs w:val="28"/>
        </w:rPr>
        <w:t>ших працівників службовим становищем, то у висновку повинно бути зазначено, яких конкретно заходів вжито щодо усунення цих недоліків і порушень та покарання винних. Висновок підписується особою, якій було доручено розгляд Звернення.</w:t>
      </w:r>
    </w:p>
    <w:p w:rsidR="00C60C97" w:rsidRDefault="00894505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3.5. Звернення, в яких </w:t>
      </w:r>
      <w:r>
        <w:rPr>
          <w:rFonts w:ascii="Times New Roman" w:hAnsi="Times New Roman"/>
          <w:sz w:val="28"/>
          <w:szCs w:val="28"/>
        </w:rPr>
        <w:t>порушуються важливі питання діяльності університету, беруться на особливий контроль і розглядаються в першу чергу.</w:t>
      </w:r>
    </w:p>
    <w:p w:rsidR="00C60C97" w:rsidRDefault="00894505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Автор Звернення має право ознайомлюватися з матеріалами перевірки.</w:t>
      </w:r>
    </w:p>
    <w:p w:rsidR="00C60C97" w:rsidRDefault="00894505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3.7. Звернення вважаються розглянутими, якщо з’ясовані всі порушені в</w:t>
      </w:r>
      <w:r>
        <w:rPr>
          <w:rFonts w:ascii="Times New Roman" w:hAnsi="Times New Roman"/>
          <w:sz w:val="28"/>
          <w:szCs w:val="28"/>
        </w:rPr>
        <w:t xml:space="preserve"> них питання, вжиті необхідні заходи і авторам Звернень надані вичерпні відповіді. </w:t>
      </w:r>
    </w:p>
    <w:p w:rsidR="00C60C97" w:rsidRDefault="00894505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3.8. Відповідь за результатами розгляду Звернення надаються ректором університету або іншими посадовими особами, яким було доручено розгляд відповідного Звернення. Рішення </w:t>
      </w:r>
      <w:r>
        <w:rPr>
          <w:rFonts w:ascii="Times New Roman" w:hAnsi="Times New Roman"/>
          <w:sz w:val="28"/>
          <w:szCs w:val="28"/>
        </w:rPr>
        <w:t>про відмову в задоволенні вимог, викладених у зверненні, доводиться до відома заявника в письмовій формі з посиланням на відповідний закон і викладенням мотивів відмови, а також із роз’ясненням порядку оскарження прийнятого рішення. Якщо давалася усна відп</w:t>
      </w:r>
      <w:r>
        <w:rPr>
          <w:rFonts w:ascii="Times New Roman" w:hAnsi="Times New Roman"/>
          <w:sz w:val="28"/>
          <w:szCs w:val="28"/>
        </w:rPr>
        <w:t>овідь, то складається відповідна довідка, яка додається до матеріалів розгляду Звернення. У реєстраційному журналі фіксується, що про результати розгляду Звернення його автору повідомлено під час особистої бесіди.</w:t>
      </w:r>
    </w:p>
    <w:p w:rsidR="00C60C97" w:rsidRDefault="00C60C97">
      <w:pPr>
        <w:pStyle w:val="Standard"/>
        <w:spacing w:line="360" w:lineRule="auto"/>
        <w:jc w:val="both"/>
        <w:rPr>
          <w:rFonts w:hint="eastAsia"/>
          <w:lang w:val="ru-RU"/>
        </w:rPr>
      </w:pPr>
    </w:p>
    <w:p w:rsidR="00C60C97" w:rsidRDefault="00894505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Особистий прийом студентів</w:t>
      </w:r>
    </w:p>
    <w:p w:rsidR="00C60C97" w:rsidRDefault="00C60C97">
      <w:pPr>
        <w:pStyle w:val="Standard"/>
        <w:spacing w:line="360" w:lineRule="auto"/>
        <w:jc w:val="center"/>
        <w:rPr>
          <w:rFonts w:hint="eastAsia"/>
          <w:lang w:val="ru-RU"/>
        </w:rPr>
      </w:pPr>
    </w:p>
    <w:p w:rsidR="00C60C97" w:rsidRDefault="00894505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Особистий прийом Студентів проводиться ректором університету, проректорами, деканами факультетів та іншими керівниками і посадовими особами, які мають право приймати рішення з питань, що входять до їх компетенції.</w:t>
      </w:r>
    </w:p>
    <w:p w:rsidR="00C60C97" w:rsidRDefault="00894505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Усі звернення студентів на особистому</w:t>
      </w:r>
      <w:r>
        <w:rPr>
          <w:rFonts w:ascii="Times New Roman" w:hAnsi="Times New Roman"/>
          <w:sz w:val="28"/>
          <w:szCs w:val="28"/>
        </w:rPr>
        <w:t xml:space="preserve"> прийомі реєструються. Якщо вирішити порушене в усному Зверненні питання безпосередньо на особистому прийомі неможливо, воно розглядається у тому ж порядку, що й письмове Звернення. Про результати розгляду Звернення повідомляється його авторові письмово аб</w:t>
      </w:r>
      <w:r>
        <w:rPr>
          <w:rFonts w:ascii="Times New Roman" w:hAnsi="Times New Roman"/>
          <w:sz w:val="28"/>
          <w:szCs w:val="28"/>
        </w:rPr>
        <w:t>о усно, за його бажанням.</w:t>
      </w:r>
    </w:p>
    <w:p w:rsidR="00C60C97" w:rsidRDefault="00894505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 прийомі студентів, за їх згодою, можуть брати участь юристи, журналісти, представники органів місцевого самоврядування тощо. Перебувати в приміщенні, де провадиться прийом, осіб, які не причетні до прийому, не дозволяється.</w:t>
      </w:r>
    </w:p>
    <w:p w:rsidR="00C60C97" w:rsidRDefault="00894505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4.4. Особа, яка здійснює прийом, для забезпечення кваліфікованого розв'язання поставлених відвідувачем питань може залучати до їх розгляду працівників відповідних підрозділів університету або одержувати в них потрібну консультацію.</w:t>
      </w:r>
    </w:p>
    <w:p w:rsidR="00C60C97" w:rsidRDefault="00894505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4.5. Якщо розв'язання п</w:t>
      </w:r>
      <w:r>
        <w:rPr>
          <w:rFonts w:ascii="Times New Roman" w:hAnsi="Times New Roman"/>
          <w:sz w:val="28"/>
          <w:szCs w:val="28"/>
        </w:rPr>
        <w:t>итання, з яким звернувся заявник, не входить до компетенції університету, то посадова особа, яка веде прийом, пояснює йому, до якого органу виконавчої влади (організації, установи) треба звернутися, і, по змозі, надає в цьому допомогу (повідомляє адресу, н</w:t>
      </w:r>
      <w:r>
        <w:rPr>
          <w:rFonts w:ascii="Times New Roman" w:hAnsi="Times New Roman"/>
          <w:sz w:val="28"/>
          <w:szCs w:val="28"/>
        </w:rPr>
        <w:t>омер телефону).</w:t>
      </w:r>
    </w:p>
    <w:p w:rsidR="00C60C97" w:rsidRDefault="00894505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Прийняті на прийомі студентів, а також короткий зміст питань, з якими вони звернулись, і результати їх розгляду фіксуються в журналах реєстрації особистого прийму громадян.</w:t>
      </w:r>
    </w:p>
    <w:p w:rsidR="00C60C97" w:rsidRDefault="00C60C97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0C97" w:rsidRDefault="00894505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Відповідальність за порушення законодавства про звернення </w:t>
      </w:r>
      <w:r>
        <w:rPr>
          <w:rFonts w:ascii="Times New Roman" w:hAnsi="Times New Roman"/>
          <w:b/>
          <w:bCs/>
          <w:sz w:val="28"/>
          <w:szCs w:val="28"/>
        </w:rPr>
        <w:t>громадян</w:t>
      </w:r>
    </w:p>
    <w:p w:rsidR="00C60C97" w:rsidRDefault="00C60C97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60C97" w:rsidRDefault="00894505">
      <w:pPr>
        <w:pStyle w:val="Standard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Посадові особи, винні у порушенні законодавства про звернення громадян, несуть цивільну або адміністративну відповідальність, яка передбачена законодавством України.</w:t>
      </w:r>
    </w:p>
    <w:p w:rsidR="00C60C97" w:rsidRDefault="0089450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5.2. За подання Звернень, які містять наклепи і образи, дискредитують уніве</w:t>
      </w:r>
      <w:r>
        <w:rPr>
          <w:rFonts w:ascii="Times New Roman" w:hAnsi="Times New Roman"/>
          <w:sz w:val="28"/>
          <w:szCs w:val="28"/>
        </w:rPr>
        <w:t>рситет та його посадових осіб, містять заклики до розпалювання національної, расової, релігійної ворожнечі та інших протиправних дій, передбачається відповідальність згідно з чинним законодавством.</w:t>
      </w:r>
    </w:p>
    <w:p w:rsidR="00C60C97" w:rsidRDefault="00C60C97">
      <w:pPr>
        <w:pStyle w:val="Standard"/>
        <w:spacing w:line="360" w:lineRule="auto"/>
        <w:jc w:val="both"/>
        <w:rPr>
          <w:rFonts w:hint="eastAsia"/>
        </w:rPr>
      </w:pPr>
    </w:p>
    <w:p w:rsidR="00C60C97" w:rsidRDefault="00894505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6. Аналіз, узагальнення письмових і усних Звернень та заб</w:t>
      </w:r>
      <w:r>
        <w:rPr>
          <w:rFonts w:ascii="Times New Roman" w:hAnsi="Times New Roman"/>
          <w:b/>
          <w:bCs/>
          <w:sz w:val="28"/>
          <w:szCs w:val="28"/>
        </w:rPr>
        <w:t>езпечення контролю за їх розглядом</w:t>
      </w:r>
    </w:p>
    <w:p w:rsidR="00C60C97" w:rsidRDefault="00C60C97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60C97" w:rsidRDefault="00894505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6.1. Ректор університету здійснює контроль за роботою з питань звернень та прийому студентів особисто, через своїх заступників, керівників структурних підрозділів.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6.2. Керівники підрозділів університету здійснюють безпо</w:t>
      </w:r>
      <w:r>
        <w:rPr>
          <w:rFonts w:ascii="Times New Roman" w:hAnsi="Times New Roman"/>
          <w:sz w:val="28"/>
          <w:szCs w:val="28"/>
        </w:rPr>
        <w:t>середній контроль за дотриманням встановленого законодавством і цими Рекомендаціями порядку розгляду Звернень.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При здійсненні контролю звертається увага на строки і повноту розгляду порушених питань, об'єктивність розгляду Звернень, законність і обґру</w:t>
      </w:r>
      <w:r>
        <w:rPr>
          <w:rFonts w:ascii="Times New Roman" w:hAnsi="Times New Roman"/>
          <w:sz w:val="28"/>
          <w:szCs w:val="28"/>
        </w:rPr>
        <w:t>нтованість прийнятих за ними рішень, своєчасність їх виконання і надання відповідей заявникам.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Якщо взяте на контроль Звернення не може бути вирішене у визначений строк, то виконавець заздалегідь доповідає про це особі, яка здійснює контроль, і порушу</w:t>
      </w:r>
      <w:r>
        <w:rPr>
          <w:rFonts w:ascii="Times New Roman" w:hAnsi="Times New Roman"/>
          <w:sz w:val="28"/>
          <w:szCs w:val="28"/>
        </w:rPr>
        <w:t>є питання щодо продовження терміну виконання в межах, передбачених законодавством.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6.5. Рішення про зняття звернень з контролю приймає ректор університету або інші посадові особи, які відповідають за їх своєчасний і об’єктивний розгляд. Попередні відповіді</w:t>
      </w:r>
      <w:r>
        <w:rPr>
          <w:rFonts w:ascii="Times New Roman" w:hAnsi="Times New Roman"/>
          <w:sz w:val="28"/>
          <w:szCs w:val="28"/>
        </w:rPr>
        <w:t xml:space="preserve"> на Звернення, взяті на контроль, не є підставою для зняття їх з контролю в разі повторного розгляду.</w:t>
      </w:r>
    </w:p>
    <w:p w:rsidR="00C60C97" w:rsidRDefault="00894505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6.6. Діяльність підрозділів університету та їх керівників оцінюється з урахуванням стану їх роботи з питань розгляду звернень і прийому громадян.</w:t>
      </w:r>
    </w:p>
    <w:p w:rsidR="00C60C97" w:rsidRDefault="00C60C97">
      <w:pPr>
        <w:pStyle w:val="Standard"/>
        <w:spacing w:line="360" w:lineRule="auto"/>
        <w:jc w:val="both"/>
        <w:rPr>
          <w:rFonts w:hint="eastAsia"/>
        </w:rPr>
      </w:pPr>
    </w:p>
    <w:p w:rsidR="00C60C97" w:rsidRDefault="00C60C97">
      <w:pPr>
        <w:pStyle w:val="Standard"/>
        <w:spacing w:line="360" w:lineRule="auto"/>
        <w:jc w:val="both"/>
        <w:rPr>
          <w:rFonts w:hint="eastAsia"/>
        </w:rPr>
      </w:pPr>
    </w:p>
    <w:p w:rsidR="00C60C97" w:rsidRDefault="00C60C97">
      <w:pPr>
        <w:pStyle w:val="Standard"/>
        <w:spacing w:line="360" w:lineRule="auto"/>
        <w:ind w:right="-51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0C97" w:rsidRDefault="00894505">
      <w:pPr>
        <w:pStyle w:val="Standard"/>
        <w:spacing w:line="360" w:lineRule="auto"/>
        <w:ind w:left="567" w:right="-510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Ректор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___________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Володимир СТИБЕЛЬ</w:t>
      </w:r>
    </w:p>
    <w:sectPr w:rsidR="00C60C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05" w:rsidRDefault="00894505">
      <w:pPr>
        <w:rPr>
          <w:rFonts w:hint="eastAsia"/>
        </w:rPr>
      </w:pPr>
      <w:r>
        <w:separator/>
      </w:r>
    </w:p>
  </w:endnote>
  <w:endnote w:type="continuationSeparator" w:id="0">
    <w:p w:rsidR="00894505" w:rsidRDefault="008945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05" w:rsidRDefault="008945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94505" w:rsidRDefault="008945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9D3"/>
    <w:multiLevelType w:val="multilevel"/>
    <w:tmpl w:val="3B6883CC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0C97"/>
    <w:rsid w:val="0056318E"/>
    <w:rsid w:val="00894505"/>
    <w:rsid w:val="00C6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</dc:creator>
  <cp:lastModifiedBy>KaSpEr</cp:lastModifiedBy>
  <cp:revision>2</cp:revision>
  <dcterms:created xsi:type="dcterms:W3CDTF">2020-03-16T09:00:00Z</dcterms:created>
  <dcterms:modified xsi:type="dcterms:W3CDTF">2020-03-16T09:00:00Z</dcterms:modified>
</cp:coreProperties>
</file>